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6A" w:rsidRPr="001623EC" w:rsidRDefault="00F5302D" w:rsidP="00264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623EC">
        <w:rPr>
          <w:b/>
          <w:sz w:val="28"/>
          <w:szCs w:val="28"/>
        </w:rPr>
        <w:t>RYANAIR</w:t>
      </w:r>
      <w:r w:rsidR="00CA22B2" w:rsidRPr="001623EC">
        <w:rPr>
          <w:b/>
          <w:sz w:val="28"/>
          <w:szCs w:val="28"/>
        </w:rPr>
        <w:t xml:space="preserve"> TO EXPAND ITS BUDAPEST BASE</w:t>
      </w:r>
      <w:r w:rsidR="00856101" w:rsidRPr="001623EC">
        <w:rPr>
          <w:b/>
          <w:sz w:val="28"/>
          <w:szCs w:val="28"/>
        </w:rPr>
        <w:t xml:space="preserve"> TO 5 AIRCRAFT, 32 ROUTES, </w:t>
      </w:r>
      <w:r w:rsidR="001623EC" w:rsidRPr="001623EC">
        <w:rPr>
          <w:b/>
          <w:sz w:val="28"/>
          <w:szCs w:val="28"/>
        </w:rPr>
        <w:br/>
      </w:r>
      <w:r w:rsidR="00EA3CFF">
        <w:rPr>
          <w:b/>
          <w:sz w:val="28"/>
          <w:szCs w:val="28"/>
        </w:rPr>
        <w:t xml:space="preserve">WITH A NEW TAMPERE ROUTE </w:t>
      </w:r>
      <w:r w:rsidR="00856101" w:rsidRPr="001623EC">
        <w:rPr>
          <w:b/>
          <w:sz w:val="28"/>
          <w:szCs w:val="28"/>
        </w:rPr>
        <w:t xml:space="preserve">AND </w:t>
      </w:r>
      <w:r w:rsidR="005F4988">
        <w:rPr>
          <w:b/>
          <w:sz w:val="28"/>
          <w:szCs w:val="28"/>
        </w:rPr>
        <w:t>42</w:t>
      </w:r>
      <w:r w:rsidR="00856101" w:rsidRPr="001623EC">
        <w:rPr>
          <w:b/>
          <w:sz w:val="28"/>
          <w:szCs w:val="28"/>
        </w:rPr>
        <w:t xml:space="preserve"> EXTRA WEEKLY</w:t>
      </w:r>
      <w:r w:rsidR="00264C4C" w:rsidRPr="001623EC">
        <w:rPr>
          <w:b/>
          <w:sz w:val="28"/>
          <w:szCs w:val="28"/>
        </w:rPr>
        <w:t xml:space="preserve"> </w:t>
      </w:r>
      <w:r w:rsidR="00856101" w:rsidRPr="001623EC">
        <w:rPr>
          <w:b/>
          <w:sz w:val="28"/>
          <w:szCs w:val="28"/>
        </w:rPr>
        <w:t>SERVICES</w:t>
      </w:r>
    </w:p>
    <w:p w:rsidR="00264C4C" w:rsidRPr="001623EC" w:rsidRDefault="00264C4C" w:rsidP="00264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856101" w:rsidRPr="00BB619F" w:rsidRDefault="004A652A" w:rsidP="00264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sz w:val="28"/>
          <w:szCs w:val="28"/>
        </w:rPr>
        <w:t>RYANAIR’S BUDAPEST BASE</w:t>
      </w:r>
      <w:r w:rsidR="00264C4C" w:rsidRPr="00264C4C">
        <w:rPr>
          <w:sz w:val="28"/>
          <w:szCs w:val="28"/>
        </w:rPr>
        <w:t xml:space="preserve"> OPENS ON FRIDAY 17</w:t>
      </w:r>
      <w:r w:rsidR="00264C4C" w:rsidRPr="00264C4C">
        <w:rPr>
          <w:sz w:val="28"/>
          <w:szCs w:val="28"/>
          <w:vertAlign w:val="superscript"/>
        </w:rPr>
        <w:t>TH</w:t>
      </w:r>
      <w:r w:rsidR="00EA3CFF">
        <w:rPr>
          <w:sz w:val="28"/>
          <w:szCs w:val="28"/>
        </w:rPr>
        <w:t xml:space="preserve"> FEB AND WILL DELIVER 2.4M PAX, SUPPORTING OVER 2,4</w:t>
      </w:r>
      <w:r w:rsidR="00264C4C" w:rsidRPr="00264C4C">
        <w:rPr>
          <w:sz w:val="28"/>
          <w:szCs w:val="28"/>
        </w:rPr>
        <w:t>00 JOBS</w:t>
      </w:r>
    </w:p>
    <w:p w:rsidR="00F5302D" w:rsidRDefault="00F5302D"/>
    <w:p w:rsidR="00856101" w:rsidRDefault="00264C4C" w:rsidP="004A652A">
      <w:pPr>
        <w:jc w:val="both"/>
      </w:pPr>
      <w:r>
        <w:t>Ryanair, the world’s favourite airline, today (9</w:t>
      </w:r>
      <w:r w:rsidRPr="00264C4C">
        <w:rPr>
          <w:vertAlign w:val="superscript"/>
        </w:rPr>
        <w:t>th</w:t>
      </w:r>
      <w:r>
        <w:t xml:space="preserve"> Feb) announced that it will open its</w:t>
      </w:r>
      <w:r w:rsidR="001623EC">
        <w:t xml:space="preserve"> new</w:t>
      </w:r>
      <w:r>
        <w:t xml:space="preserve"> Budapest base next Friday (17</w:t>
      </w:r>
      <w:r w:rsidRPr="00264C4C">
        <w:rPr>
          <w:vertAlign w:val="superscript"/>
        </w:rPr>
        <w:t>th</w:t>
      </w:r>
      <w:r>
        <w:t xml:space="preserve"> Feb), as the airline confirmed details of record bookings on its 31 routes over the first 7 days </w:t>
      </w:r>
      <w:r w:rsidR="001623EC">
        <w:t>since</w:t>
      </w:r>
      <w:r>
        <w:t xml:space="preserve"> the</w:t>
      </w:r>
      <w:r w:rsidR="001623EC">
        <w:t>y</w:t>
      </w:r>
      <w:r>
        <w:t xml:space="preserve"> release</w:t>
      </w:r>
      <w:r w:rsidR="001623EC">
        <w:t>d</w:t>
      </w:r>
      <w:r>
        <w:t xml:space="preserve"> fares starting from €9.99/HUF2,999</w:t>
      </w:r>
      <w:r w:rsidR="001623EC">
        <w:t xml:space="preserve"> to/from Budapest following the closure of Malev</w:t>
      </w:r>
      <w:r>
        <w:t xml:space="preserve">.  In response to this surge of bookings, Ryanair today </w:t>
      </w:r>
      <w:r w:rsidR="00464FE3">
        <w:t>announced</w:t>
      </w:r>
      <w:r>
        <w:t xml:space="preserve"> further expansion of its Budapest base with a 5</w:t>
      </w:r>
      <w:r w:rsidRPr="00264C4C">
        <w:rPr>
          <w:vertAlign w:val="superscript"/>
        </w:rPr>
        <w:t>th</w:t>
      </w:r>
      <w:r>
        <w:t xml:space="preserve"> based aircraft</w:t>
      </w:r>
      <w:r w:rsidR="00464FE3">
        <w:t xml:space="preserve"> (from 26 March next)</w:t>
      </w:r>
      <w:r>
        <w:t>, 1 new route</w:t>
      </w:r>
      <w:r w:rsidR="00464FE3">
        <w:t xml:space="preserve"> </w:t>
      </w:r>
      <w:r>
        <w:t xml:space="preserve">Budapest to Tampere (32 routes in total) and </w:t>
      </w:r>
      <w:r w:rsidR="005F4988">
        <w:t>42</w:t>
      </w:r>
      <w:r>
        <w:t xml:space="preserve"> more weekly flights, with additional frequencies on Ryanair’s routes from Budapest to</w:t>
      </w:r>
      <w:r w:rsidR="00B66D37">
        <w:t xml:space="preserve"> Brussels, Eindhoven, Gothenburg, Madrid, Milan, Rome, Stockholm and Thessalonik</w:t>
      </w:r>
      <w:r w:rsidR="001623EC">
        <w:t>i</w:t>
      </w:r>
      <w:r w:rsidR="00EA3CFF">
        <w:t>.</w:t>
      </w:r>
      <w:r w:rsidR="00B66D37">
        <w:t xml:space="preserve"> </w:t>
      </w:r>
    </w:p>
    <w:p w:rsidR="00B66D37" w:rsidRDefault="00B66D37" w:rsidP="004A652A">
      <w:pPr>
        <w:jc w:val="both"/>
      </w:pPr>
    </w:p>
    <w:p w:rsidR="00B66D37" w:rsidRDefault="00B66D37" w:rsidP="004A652A">
      <w:pPr>
        <w:jc w:val="both"/>
      </w:pPr>
      <w:r>
        <w:t>Ryanair confirm</w:t>
      </w:r>
      <w:r w:rsidR="00CA22B2">
        <w:t>ed</w:t>
      </w:r>
      <w:r>
        <w:t xml:space="preserve"> that this 5</w:t>
      </w:r>
      <w:r w:rsidRPr="00B66D37">
        <w:rPr>
          <w:vertAlign w:val="superscript"/>
        </w:rPr>
        <w:t>th</w:t>
      </w:r>
      <w:r>
        <w:t xml:space="preserve"> aircraft (new Tampere route and </w:t>
      </w:r>
      <w:r w:rsidR="00464FE3">
        <w:t xml:space="preserve">21 </w:t>
      </w:r>
      <w:r>
        <w:t>additional frequencies</w:t>
      </w:r>
      <w:r w:rsidR="00464FE3">
        <w:t>)</w:t>
      </w:r>
      <w:r>
        <w:t xml:space="preserve"> will see Ryanair’</w:t>
      </w:r>
      <w:r w:rsidR="004A652A">
        <w:t>s Budapest traffic grow to 2.4</w:t>
      </w:r>
      <w:r>
        <w:t xml:space="preserve">m passengers in its </w:t>
      </w:r>
      <w:r w:rsidR="004A652A">
        <w:t>first year, sustaining up to 2,4</w:t>
      </w:r>
      <w:r>
        <w:t>00 jobs in Hungarian tourism.</w:t>
      </w:r>
    </w:p>
    <w:p w:rsidR="00EA3CFF" w:rsidRDefault="00EA3CFF" w:rsidP="004A652A">
      <w:pPr>
        <w:jc w:val="both"/>
      </w:pPr>
    </w:p>
    <w:p w:rsidR="00EA3CFF" w:rsidRPr="00EA3CFF" w:rsidRDefault="00EA3CFF" w:rsidP="004A652A">
      <w:pPr>
        <w:jc w:val="both"/>
        <w:rPr>
          <w:b/>
        </w:rPr>
      </w:pPr>
      <w:r w:rsidRPr="00EA3CFF">
        <w:rPr>
          <w:b/>
        </w:rPr>
        <w:t>In Budapest, Ryanair’s Michael O’Leary said;</w:t>
      </w:r>
    </w:p>
    <w:p w:rsidR="00EA3CFF" w:rsidRDefault="00EA3CFF" w:rsidP="004A652A">
      <w:pPr>
        <w:jc w:val="both"/>
      </w:pPr>
    </w:p>
    <w:p w:rsidR="00B66D37" w:rsidRPr="00EA3CFF" w:rsidRDefault="00EA3CFF" w:rsidP="004A652A">
      <w:pPr>
        <w:ind w:left="720"/>
        <w:jc w:val="both"/>
        <w:rPr>
          <w:i/>
        </w:rPr>
      </w:pPr>
      <w:r w:rsidRPr="00EA3CFF">
        <w:rPr>
          <w:i/>
        </w:rPr>
        <w:t>“</w:t>
      </w:r>
      <w:r w:rsidR="00B66D37" w:rsidRPr="00EA3CFF">
        <w:rPr>
          <w:i/>
        </w:rPr>
        <w:t>Ryanair will be investing more than $350m in its</w:t>
      </w:r>
      <w:r w:rsidR="00464FE3" w:rsidRPr="00EA3CFF">
        <w:rPr>
          <w:i/>
        </w:rPr>
        <w:t xml:space="preserve"> new</w:t>
      </w:r>
      <w:r w:rsidRPr="00EA3CFF">
        <w:rPr>
          <w:i/>
        </w:rPr>
        <w:t xml:space="preserve"> 5 aircraft </w:t>
      </w:r>
      <w:r w:rsidR="00B66D37" w:rsidRPr="00EA3CFF">
        <w:rPr>
          <w:i/>
        </w:rPr>
        <w:t>Budapest base, and thanks to the ex</w:t>
      </w:r>
      <w:r w:rsidR="00464FE3" w:rsidRPr="00EA3CFF">
        <w:rPr>
          <w:i/>
        </w:rPr>
        <w:t>ceptional</w:t>
      </w:r>
      <w:r w:rsidR="00B66D37" w:rsidRPr="00EA3CFF">
        <w:rPr>
          <w:i/>
        </w:rPr>
        <w:t xml:space="preserve"> support of Budapest Airport and the Hungarian Government, Ryanair’s base will open on time on Friday 17</w:t>
      </w:r>
      <w:r w:rsidR="00B66D37" w:rsidRPr="00EA3CFF">
        <w:rPr>
          <w:i/>
          <w:vertAlign w:val="superscript"/>
        </w:rPr>
        <w:t>th</w:t>
      </w:r>
      <w:r w:rsidR="00B66D37" w:rsidRPr="00EA3CFF">
        <w:rPr>
          <w:i/>
        </w:rPr>
        <w:t xml:space="preserve"> February next.  Ryanair’s </w:t>
      </w:r>
      <w:r w:rsidRPr="00EA3CFF">
        <w:rPr>
          <w:i/>
        </w:rPr>
        <w:t>new</w:t>
      </w:r>
      <w:r w:rsidR="00B66D37" w:rsidRPr="00EA3CFF">
        <w:rPr>
          <w:i/>
        </w:rPr>
        <w:t xml:space="preserve"> </w:t>
      </w:r>
      <w:r w:rsidR="00464FE3" w:rsidRPr="00EA3CFF">
        <w:rPr>
          <w:i/>
        </w:rPr>
        <w:t xml:space="preserve">Budapest </w:t>
      </w:r>
      <w:r w:rsidR="00B66D37" w:rsidRPr="00EA3CFF">
        <w:rPr>
          <w:i/>
        </w:rPr>
        <w:t xml:space="preserve">base will make up </w:t>
      </w:r>
      <w:r w:rsidR="00464FE3" w:rsidRPr="00EA3CFF">
        <w:rPr>
          <w:i/>
        </w:rPr>
        <w:t>much</w:t>
      </w:r>
      <w:r w:rsidR="00B66D37" w:rsidRPr="00EA3CFF">
        <w:rPr>
          <w:i/>
        </w:rPr>
        <w:t xml:space="preserve"> of the traffic lost </w:t>
      </w:r>
      <w:r w:rsidR="00464FE3" w:rsidRPr="00EA3CFF">
        <w:rPr>
          <w:i/>
        </w:rPr>
        <w:t>following</w:t>
      </w:r>
      <w:r w:rsidR="00B66D37" w:rsidRPr="00EA3CFF">
        <w:rPr>
          <w:i/>
        </w:rPr>
        <w:t xml:space="preserve"> Malev</w:t>
      </w:r>
      <w:r w:rsidR="00464FE3" w:rsidRPr="00EA3CFF">
        <w:rPr>
          <w:i/>
        </w:rPr>
        <w:t>’s</w:t>
      </w:r>
      <w:r w:rsidR="00B66D37" w:rsidRPr="00EA3CFF">
        <w:rPr>
          <w:i/>
        </w:rPr>
        <w:t xml:space="preserve"> closure, but at fares which are less than one quarter of</w:t>
      </w:r>
      <w:r w:rsidR="00464FE3" w:rsidRPr="00EA3CFF">
        <w:rPr>
          <w:i/>
        </w:rPr>
        <w:t xml:space="preserve"> Malev’s </w:t>
      </w:r>
      <w:r w:rsidRPr="00EA3CFF">
        <w:rPr>
          <w:i/>
        </w:rPr>
        <w:t>fares</w:t>
      </w:r>
      <w:r w:rsidR="00464FE3" w:rsidRPr="00EA3CFF">
        <w:rPr>
          <w:i/>
        </w:rPr>
        <w:t xml:space="preserve"> </w:t>
      </w:r>
      <w:r w:rsidR="00B66D37" w:rsidRPr="00EA3CFF">
        <w:rPr>
          <w:i/>
        </w:rPr>
        <w:t xml:space="preserve">and less than half the fares </w:t>
      </w:r>
      <w:r w:rsidR="00464FE3" w:rsidRPr="00EA3CFF">
        <w:rPr>
          <w:i/>
        </w:rPr>
        <w:t>of</w:t>
      </w:r>
      <w:r w:rsidR="00B66D37" w:rsidRPr="00EA3CFF">
        <w:rPr>
          <w:i/>
        </w:rPr>
        <w:t xml:space="preserve"> the other high fare airline Wizzair.  While </w:t>
      </w:r>
      <w:r w:rsidRPr="00EA3CFF">
        <w:rPr>
          <w:i/>
        </w:rPr>
        <w:t xml:space="preserve">loss making </w:t>
      </w:r>
      <w:r w:rsidR="00B66D37" w:rsidRPr="00EA3CFF">
        <w:rPr>
          <w:i/>
        </w:rPr>
        <w:t>Wizzair continues to charge its passengers fares of €29, €39 and €49, Ryanair’s flights will start at €</w:t>
      </w:r>
      <w:r w:rsidRPr="00EA3CFF">
        <w:rPr>
          <w:i/>
        </w:rPr>
        <w:t>9.99</w:t>
      </w:r>
      <w:r w:rsidR="00B66D37" w:rsidRPr="00EA3CFF">
        <w:rPr>
          <w:i/>
        </w:rPr>
        <w:t xml:space="preserve">.  Ryanair also committed that </w:t>
      </w:r>
      <w:r w:rsidR="004A652A">
        <w:rPr>
          <w:i/>
        </w:rPr>
        <w:t>its</w:t>
      </w:r>
      <w:r w:rsidR="00B66D37" w:rsidRPr="00EA3CFF">
        <w:rPr>
          <w:i/>
        </w:rPr>
        <w:t xml:space="preserve"> lowest fares will be at least 50% lower than Wizzair</w:t>
      </w:r>
      <w:r w:rsidR="00464FE3" w:rsidRPr="00EA3CFF">
        <w:rPr>
          <w:i/>
        </w:rPr>
        <w:t xml:space="preserve"> and with </w:t>
      </w:r>
      <w:r w:rsidRPr="00EA3CFF">
        <w:rPr>
          <w:i/>
        </w:rPr>
        <w:t xml:space="preserve">at least </w:t>
      </w:r>
      <w:r w:rsidR="00464FE3" w:rsidRPr="00EA3CFF">
        <w:rPr>
          <w:i/>
        </w:rPr>
        <w:t>double the availability of Wizzair</w:t>
      </w:r>
      <w:r w:rsidRPr="00EA3CFF">
        <w:rPr>
          <w:i/>
        </w:rPr>
        <w:t>’s promotional prices</w:t>
      </w:r>
      <w:r w:rsidR="00B66D37" w:rsidRPr="00EA3CFF">
        <w:rPr>
          <w:i/>
        </w:rPr>
        <w:t>.</w:t>
      </w:r>
    </w:p>
    <w:p w:rsidR="00EA3CFF" w:rsidRPr="00EA3CFF" w:rsidRDefault="00EA3CFF" w:rsidP="004A652A">
      <w:pPr>
        <w:ind w:left="720"/>
        <w:jc w:val="both"/>
        <w:rPr>
          <w:i/>
        </w:rPr>
      </w:pPr>
    </w:p>
    <w:p w:rsidR="00EA3CFF" w:rsidRPr="00EA3CFF" w:rsidRDefault="00EA3CFF" w:rsidP="004A652A">
      <w:pPr>
        <w:ind w:left="720"/>
        <w:jc w:val="both"/>
        <w:rPr>
          <w:i/>
        </w:rPr>
      </w:pPr>
      <w:r w:rsidRPr="00EA3CFF">
        <w:rPr>
          <w:i/>
        </w:rPr>
        <w:t xml:space="preserve">Loss making Wizzair cannot compete </w:t>
      </w:r>
      <w:r w:rsidR="004A652A">
        <w:rPr>
          <w:i/>
        </w:rPr>
        <w:t>with Ryanair on prices, costs or</w:t>
      </w:r>
      <w:r w:rsidRPr="00EA3CFF">
        <w:rPr>
          <w:i/>
        </w:rPr>
        <w:t xml:space="preserve"> punctuality.”</w:t>
      </w:r>
    </w:p>
    <w:p w:rsidR="00F5302D" w:rsidRDefault="00F5302D" w:rsidP="004A652A">
      <w:pPr>
        <w:jc w:val="both"/>
      </w:pPr>
    </w:p>
    <w:p w:rsidR="00464FE3" w:rsidRPr="0003067C" w:rsidRDefault="00464FE3" w:rsidP="004A652A">
      <w:pPr>
        <w:jc w:val="center"/>
        <w:rPr>
          <w:b/>
        </w:rPr>
      </w:pPr>
      <w:r w:rsidRPr="0003067C">
        <w:rPr>
          <w:b/>
        </w:rPr>
        <w:t>New Ryanair Bud</w:t>
      </w:r>
      <w:r w:rsidR="0003067C" w:rsidRPr="0003067C">
        <w:rPr>
          <w:b/>
        </w:rPr>
        <w:t>apest Base Growth</w:t>
      </w:r>
    </w:p>
    <w:tbl>
      <w:tblPr>
        <w:tblStyle w:val="Grilledutableau"/>
        <w:tblW w:w="0" w:type="auto"/>
        <w:jc w:val="center"/>
        <w:tblInd w:w="817" w:type="dxa"/>
        <w:tblLook w:val="04A0"/>
      </w:tblPr>
      <w:tblGrid>
        <w:gridCol w:w="1512"/>
        <w:gridCol w:w="1618"/>
        <w:gridCol w:w="1547"/>
        <w:gridCol w:w="1111"/>
      </w:tblGrid>
      <w:tr w:rsidR="00E85C05" w:rsidTr="000622FD">
        <w:trPr>
          <w:jc w:val="center"/>
        </w:trPr>
        <w:tc>
          <w:tcPr>
            <w:tcW w:w="1512" w:type="dxa"/>
          </w:tcPr>
          <w:p w:rsidR="00E85C05" w:rsidRPr="00096FA4" w:rsidRDefault="00E85C05">
            <w:pPr>
              <w:rPr>
                <w:b/>
              </w:rPr>
            </w:pPr>
            <w:r w:rsidRPr="00096FA4">
              <w:rPr>
                <w:b/>
              </w:rPr>
              <w:t>Routes</w:t>
            </w:r>
          </w:p>
        </w:tc>
        <w:tc>
          <w:tcPr>
            <w:tcW w:w="1618" w:type="dxa"/>
          </w:tcPr>
          <w:p w:rsidR="00E85C05" w:rsidRPr="00096FA4" w:rsidRDefault="00E85C05" w:rsidP="00E17510">
            <w:pPr>
              <w:jc w:val="center"/>
              <w:rPr>
                <w:b/>
              </w:rPr>
            </w:pPr>
            <w:r w:rsidRPr="00096FA4">
              <w:rPr>
                <w:b/>
              </w:rPr>
              <w:t xml:space="preserve">Original </w:t>
            </w:r>
            <w:r w:rsidR="00E27649">
              <w:rPr>
                <w:b/>
              </w:rPr>
              <w:t xml:space="preserve"> Freq </w:t>
            </w:r>
            <w:r w:rsidRPr="00096FA4">
              <w:rPr>
                <w:b/>
              </w:rPr>
              <w:t>(Wkly)</w:t>
            </w:r>
          </w:p>
        </w:tc>
        <w:tc>
          <w:tcPr>
            <w:tcW w:w="1547" w:type="dxa"/>
          </w:tcPr>
          <w:p w:rsidR="00E85C05" w:rsidRPr="00096FA4" w:rsidRDefault="00E85C05" w:rsidP="00E27649">
            <w:pPr>
              <w:jc w:val="center"/>
              <w:rPr>
                <w:b/>
              </w:rPr>
            </w:pPr>
            <w:r w:rsidRPr="00096FA4">
              <w:rPr>
                <w:b/>
              </w:rPr>
              <w:t>New</w:t>
            </w:r>
          </w:p>
          <w:p w:rsidR="00E85C05" w:rsidRPr="00096FA4" w:rsidRDefault="00E27649" w:rsidP="00E17510">
            <w:pPr>
              <w:jc w:val="center"/>
              <w:rPr>
                <w:b/>
              </w:rPr>
            </w:pPr>
            <w:r>
              <w:rPr>
                <w:b/>
              </w:rPr>
              <w:t>Freq</w:t>
            </w:r>
            <w:r w:rsidR="000622FD">
              <w:rPr>
                <w:b/>
              </w:rPr>
              <w:t xml:space="preserve"> </w:t>
            </w:r>
            <w:r w:rsidR="00E85C05" w:rsidRPr="00096FA4">
              <w:rPr>
                <w:b/>
              </w:rPr>
              <w:t>(Wkly)</w:t>
            </w:r>
            <w:r w:rsidR="00E17510" w:rsidRPr="00096FA4">
              <w:rPr>
                <w:b/>
              </w:rPr>
              <w:t xml:space="preserve"> </w:t>
            </w:r>
          </w:p>
        </w:tc>
        <w:tc>
          <w:tcPr>
            <w:tcW w:w="1111" w:type="dxa"/>
          </w:tcPr>
          <w:p w:rsidR="00E85C05" w:rsidRPr="00096FA4" w:rsidRDefault="00E85C05" w:rsidP="00E27649">
            <w:pPr>
              <w:jc w:val="center"/>
              <w:rPr>
                <w:b/>
              </w:rPr>
            </w:pPr>
            <w:r w:rsidRPr="00096FA4">
              <w:rPr>
                <w:b/>
              </w:rPr>
              <w:t>New Growth</w:t>
            </w:r>
          </w:p>
        </w:tc>
      </w:tr>
      <w:tr w:rsidR="00E85C05" w:rsidTr="000622FD">
        <w:trPr>
          <w:jc w:val="center"/>
        </w:trPr>
        <w:tc>
          <w:tcPr>
            <w:tcW w:w="1512" w:type="dxa"/>
          </w:tcPr>
          <w:p w:rsidR="00E85C05" w:rsidRDefault="00E85C05">
            <w:r>
              <w:t>Brussels</w:t>
            </w:r>
          </w:p>
        </w:tc>
        <w:tc>
          <w:tcPr>
            <w:tcW w:w="1618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7</w:t>
            </w:r>
          </w:p>
        </w:tc>
        <w:tc>
          <w:tcPr>
            <w:tcW w:w="1547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13</w:t>
            </w:r>
          </w:p>
        </w:tc>
        <w:tc>
          <w:tcPr>
            <w:tcW w:w="1111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+6</w:t>
            </w:r>
          </w:p>
        </w:tc>
      </w:tr>
      <w:tr w:rsidR="00E85C05" w:rsidTr="000622FD">
        <w:trPr>
          <w:jc w:val="center"/>
        </w:trPr>
        <w:tc>
          <w:tcPr>
            <w:tcW w:w="1512" w:type="dxa"/>
          </w:tcPr>
          <w:p w:rsidR="00E85C05" w:rsidRDefault="00E85C05">
            <w:r>
              <w:t>Eindhoven</w:t>
            </w:r>
          </w:p>
        </w:tc>
        <w:tc>
          <w:tcPr>
            <w:tcW w:w="1618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2</w:t>
            </w:r>
          </w:p>
        </w:tc>
        <w:tc>
          <w:tcPr>
            <w:tcW w:w="1547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4</w:t>
            </w:r>
          </w:p>
        </w:tc>
        <w:tc>
          <w:tcPr>
            <w:tcW w:w="1111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+2</w:t>
            </w:r>
          </w:p>
        </w:tc>
      </w:tr>
      <w:tr w:rsidR="00E85C05" w:rsidTr="000622FD">
        <w:trPr>
          <w:jc w:val="center"/>
        </w:trPr>
        <w:tc>
          <w:tcPr>
            <w:tcW w:w="1512" w:type="dxa"/>
          </w:tcPr>
          <w:p w:rsidR="00E85C05" w:rsidRDefault="00E85C05">
            <w:r>
              <w:t>Gothenburg</w:t>
            </w:r>
          </w:p>
        </w:tc>
        <w:tc>
          <w:tcPr>
            <w:tcW w:w="1618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2</w:t>
            </w:r>
          </w:p>
        </w:tc>
        <w:tc>
          <w:tcPr>
            <w:tcW w:w="1547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3</w:t>
            </w:r>
          </w:p>
        </w:tc>
        <w:tc>
          <w:tcPr>
            <w:tcW w:w="1111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+1</w:t>
            </w:r>
          </w:p>
        </w:tc>
      </w:tr>
      <w:tr w:rsidR="00E85C05" w:rsidTr="000622FD">
        <w:trPr>
          <w:jc w:val="center"/>
        </w:trPr>
        <w:tc>
          <w:tcPr>
            <w:tcW w:w="1512" w:type="dxa"/>
          </w:tcPr>
          <w:p w:rsidR="00E85C05" w:rsidRDefault="00E85C05">
            <w:r>
              <w:t>Madrid</w:t>
            </w:r>
          </w:p>
        </w:tc>
        <w:tc>
          <w:tcPr>
            <w:tcW w:w="1618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4</w:t>
            </w:r>
          </w:p>
        </w:tc>
        <w:tc>
          <w:tcPr>
            <w:tcW w:w="1547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6</w:t>
            </w:r>
          </w:p>
        </w:tc>
        <w:tc>
          <w:tcPr>
            <w:tcW w:w="1111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+2</w:t>
            </w:r>
          </w:p>
        </w:tc>
      </w:tr>
      <w:tr w:rsidR="00E85C05" w:rsidTr="000622FD">
        <w:trPr>
          <w:jc w:val="center"/>
        </w:trPr>
        <w:tc>
          <w:tcPr>
            <w:tcW w:w="1512" w:type="dxa"/>
          </w:tcPr>
          <w:p w:rsidR="00E85C05" w:rsidRDefault="00E85C05">
            <w:r>
              <w:t>Milan</w:t>
            </w:r>
          </w:p>
        </w:tc>
        <w:tc>
          <w:tcPr>
            <w:tcW w:w="1618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10</w:t>
            </w:r>
          </w:p>
        </w:tc>
        <w:tc>
          <w:tcPr>
            <w:tcW w:w="1547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11</w:t>
            </w:r>
          </w:p>
        </w:tc>
        <w:tc>
          <w:tcPr>
            <w:tcW w:w="1111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+1</w:t>
            </w:r>
          </w:p>
        </w:tc>
      </w:tr>
      <w:tr w:rsidR="00E85C05" w:rsidTr="000622FD">
        <w:trPr>
          <w:jc w:val="center"/>
        </w:trPr>
        <w:tc>
          <w:tcPr>
            <w:tcW w:w="1512" w:type="dxa"/>
          </w:tcPr>
          <w:p w:rsidR="00E85C05" w:rsidRDefault="00E85C05">
            <w:r>
              <w:t>Rome</w:t>
            </w:r>
          </w:p>
        </w:tc>
        <w:tc>
          <w:tcPr>
            <w:tcW w:w="1618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7</w:t>
            </w:r>
          </w:p>
        </w:tc>
        <w:tc>
          <w:tcPr>
            <w:tcW w:w="1547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10</w:t>
            </w:r>
          </w:p>
        </w:tc>
        <w:tc>
          <w:tcPr>
            <w:tcW w:w="1111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+3</w:t>
            </w:r>
          </w:p>
        </w:tc>
      </w:tr>
      <w:tr w:rsidR="00E85C05" w:rsidTr="000622FD">
        <w:trPr>
          <w:jc w:val="center"/>
        </w:trPr>
        <w:tc>
          <w:tcPr>
            <w:tcW w:w="1512" w:type="dxa"/>
          </w:tcPr>
          <w:p w:rsidR="00E85C05" w:rsidRDefault="00E85C05">
            <w:r>
              <w:t>Stockholm</w:t>
            </w:r>
          </w:p>
        </w:tc>
        <w:tc>
          <w:tcPr>
            <w:tcW w:w="1618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2</w:t>
            </w:r>
          </w:p>
        </w:tc>
        <w:tc>
          <w:tcPr>
            <w:tcW w:w="1547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4</w:t>
            </w:r>
          </w:p>
        </w:tc>
        <w:tc>
          <w:tcPr>
            <w:tcW w:w="1111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+2</w:t>
            </w:r>
          </w:p>
        </w:tc>
      </w:tr>
      <w:tr w:rsidR="00E85C05" w:rsidTr="000622FD">
        <w:trPr>
          <w:jc w:val="center"/>
        </w:trPr>
        <w:tc>
          <w:tcPr>
            <w:tcW w:w="1512" w:type="dxa"/>
          </w:tcPr>
          <w:p w:rsidR="00E85C05" w:rsidRDefault="00E85C05">
            <w:r>
              <w:t>Tampere</w:t>
            </w:r>
          </w:p>
        </w:tc>
        <w:tc>
          <w:tcPr>
            <w:tcW w:w="1618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0</w:t>
            </w:r>
          </w:p>
        </w:tc>
        <w:tc>
          <w:tcPr>
            <w:tcW w:w="1547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3</w:t>
            </w:r>
          </w:p>
        </w:tc>
        <w:tc>
          <w:tcPr>
            <w:tcW w:w="1111" w:type="dxa"/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+3</w:t>
            </w:r>
          </w:p>
        </w:tc>
      </w:tr>
      <w:tr w:rsidR="00E85C05" w:rsidTr="000622FD">
        <w:trPr>
          <w:jc w:val="center"/>
        </w:trPr>
        <w:tc>
          <w:tcPr>
            <w:tcW w:w="1512" w:type="dxa"/>
            <w:tcBorders>
              <w:bottom w:val="single" w:sz="12" w:space="0" w:color="000000" w:themeColor="text1"/>
            </w:tcBorders>
          </w:tcPr>
          <w:p w:rsidR="00E85C05" w:rsidRDefault="00E85C05">
            <w:r>
              <w:t>Thessalon</w:t>
            </w:r>
            <w:r w:rsidR="003D09F9">
              <w:t>i</w:t>
            </w:r>
            <w:r>
              <w:t>ki</w:t>
            </w:r>
          </w:p>
        </w:tc>
        <w:tc>
          <w:tcPr>
            <w:tcW w:w="1618" w:type="dxa"/>
            <w:tcBorders>
              <w:bottom w:val="single" w:sz="12" w:space="0" w:color="000000" w:themeColor="text1"/>
            </w:tcBorders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2</w:t>
            </w:r>
          </w:p>
        </w:tc>
        <w:tc>
          <w:tcPr>
            <w:tcW w:w="1547" w:type="dxa"/>
            <w:tcBorders>
              <w:bottom w:val="single" w:sz="12" w:space="0" w:color="000000" w:themeColor="text1"/>
            </w:tcBorders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3</w:t>
            </w: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E85C05" w:rsidRPr="00E27649" w:rsidRDefault="00E85C05" w:rsidP="00E27649">
            <w:pPr>
              <w:jc w:val="center"/>
              <w:rPr>
                <w:b/>
              </w:rPr>
            </w:pPr>
            <w:r w:rsidRPr="00E27649">
              <w:rPr>
                <w:b/>
              </w:rPr>
              <w:t>+1</w:t>
            </w:r>
          </w:p>
        </w:tc>
      </w:tr>
      <w:tr w:rsidR="00E85C05" w:rsidTr="000622FD">
        <w:trPr>
          <w:jc w:val="center"/>
        </w:trPr>
        <w:tc>
          <w:tcPr>
            <w:tcW w:w="1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5C05" w:rsidRPr="00096FA4" w:rsidRDefault="00E85C05">
            <w:pPr>
              <w:rPr>
                <w:b/>
              </w:rPr>
            </w:pPr>
            <w:r w:rsidRPr="00096FA4">
              <w:rPr>
                <w:b/>
              </w:rPr>
              <w:t>Total</w:t>
            </w:r>
          </w:p>
        </w:tc>
        <w:tc>
          <w:tcPr>
            <w:tcW w:w="16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5C05" w:rsidRPr="00096FA4" w:rsidRDefault="00E85C05" w:rsidP="00E27649">
            <w:pPr>
              <w:jc w:val="center"/>
              <w:rPr>
                <w:b/>
              </w:rPr>
            </w:pPr>
            <w:r w:rsidRPr="00096FA4">
              <w:rPr>
                <w:b/>
              </w:rPr>
              <w:t>36</w:t>
            </w:r>
          </w:p>
        </w:tc>
        <w:tc>
          <w:tcPr>
            <w:tcW w:w="15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5C05" w:rsidRPr="00096FA4" w:rsidRDefault="00E85C05" w:rsidP="00E27649">
            <w:pPr>
              <w:jc w:val="center"/>
              <w:rPr>
                <w:b/>
              </w:rPr>
            </w:pPr>
            <w:r w:rsidRPr="00096FA4">
              <w:rPr>
                <w:b/>
              </w:rPr>
              <w:t>57</w:t>
            </w:r>
          </w:p>
        </w:tc>
        <w:tc>
          <w:tcPr>
            <w:tcW w:w="1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5C05" w:rsidRPr="00096FA4" w:rsidRDefault="00096FA4" w:rsidP="00E27649">
            <w:pPr>
              <w:jc w:val="center"/>
              <w:rPr>
                <w:b/>
              </w:rPr>
            </w:pPr>
            <w:r w:rsidRPr="00096FA4">
              <w:rPr>
                <w:b/>
              </w:rPr>
              <w:t>+21</w:t>
            </w:r>
          </w:p>
        </w:tc>
      </w:tr>
    </w:tbl>
    <w:p w:rsidR="00F5302D" w:rsidRDefault="00F5302D"/>
    <w:p w:rsidR="00F5302D" w:rsidRPr="0075006C" w:rsidRDefault="00F5302D">
      <w:pPr>
        <w:rPr>
          <w:b/>
        </w:rPr>
      </w:pPr>
      <w:r w:rsidRPr="0075006C">
        <w:rPr>
          <w:b/>
        </w:rPr>
        <w:t>For further information</w:t>
      </w:r>
    </w:p>
    <w:p w:rsidR="00F5302D" w:rsidRPr="0075006C" w:rsidRDefault="00F5302D">
      <w:pPr>
        <w:rPr>
          <w:b/>
        </w:rPr>
      </w:pPr>
      <w:r w:rsidRPr="0075006C">
        <w:rPr>
          <w:b/>
        </w:rPr>
        <w:t>please contact:</w:t>
      </w:r>
      <w:r w:rsidRPr="0075006C">
        <w:rPr>
          <w:b/>
        </w:rPr>
        <w:tab/>
      </w:r>
      <w:r w:rsidRPr="0075006C">
        <w:rPr>
          <w:b/>
        </w:rPr>
        <w:tab/>
      </w:r>
      <w:r>
        <w:rPr>
          <w:b/>
        </w:rPr>
        <w:t>Stephen McNamara</w:t>
      </w:r>
      <w:r w:rsidRPr="0075006C">
        <w:rPr>
          <w:b/>
        </w:rPr>
        <w:tab/>
      </w:r>
      <w:r w:rsidRPr="0075006C">
        <w:rPr>
          <w:b/>
        </w:rPr>
        <w:tab/>
      </w:r>
      <w:r>
        <w:rPr>
          <w:b/>
        </w:rPr>
        <w:t>Joe Carmody</w:t>
      </w:r>
    </w:p>
    <w:p w:rsidR="00F5302D" w:rsidRPr="0075006C" w:rsidRDefault="00F5302D">
      <w:pPr>
        <w:rPr>
          <w:b/>
        </w:rPr>
      </w:pPr>
      <w:r w:rsidRPr="0075006C">
        <w:rPr>
          <w:b/>
        </w:rPr>
        <w:tab/>
      </w:r>
      <w:r w:rsidRPr="0075006C">
        <w:rPr>
          <w:b/>
        </w:rPr>
        <w:tab/>
      </w:r>
      <w:r w:rsidRPr="0075006C">
        <w:rPr>
          <w:b/>
        </w:rPr>
        <w:tab/>
      </w:r>
      <w:r w:rsidRPr="0075006C">
        <w:rPr>
          <w:b/>
        </w:rPr>
        <w:tab/>
        <w:t>Ryanair Ltd</w:t>
      </w:r>
      <w:r w:rsidRPr="0075006C">
        <w:rPr>
          <w:b/>
        </w:rPr>
        <w:tab/>
      </w:r>
      <w:r w:rsidRPr="0075006C">
        <w:rPr>
          <w:b/>
        </w:rPr>
        <w:tab/>
      </w:r>
      <w:r w:rsidRPr="0075006C">
        <w:rPr>
          <w:b/>
        </w:rPr>
        <w:tab/>
      </w:r>
      <w:r>
        <w:rPr>
          <w:b/>
        </w:rPr>
        <w:t>Edelman</w:t>
      </w:r>
    </w:p>
    <w:p w:rsidR="00F5302D" w:rsidRDefault="00F5302D">
      <w:r w:rsidRPr="0075006C">
        <w:rPr>
          <w:b/>
        </w:rPr>
        <w:tab/>
      </w:r>
      <w:r w:rsidRPr="0075006C">
        <w:rPr>
          <w:b/>
        </w:rPr>
        <w:tab/>
      </w:r>
      <w:r w:rsidRPr="0075006C">
        <w:rPr>
          <w:b/>
        </w:rPr>
        <w:tab/>
      </w:r>
      <w:r w:rsidRPr="0075006C">
        <w:rPr>
          <w:b/>
        </w:rPr>
        <w:tab/>
        <w:t>Tel: +35</w:t>
      </w:r>
      <w:r>
        <w:rPr>
          <w:b/>
        </w:rPr>
        <w:t>3-1-8121212</w:t>
      </w:r>
      <w:r>
        <w:rPr>
          <w:b/>
        </w:rPr>
        <w:tab/>
      </w:r>
      <w:r>
        <w:rPr>
          <w:b/>
        </w:rPr>
        <w:tab/>
        <w:t>Tel. +353-1-6789333</w:t>
      </w:r>
    </w:p>
    <w:sectPr w:rsidR="00F5302D" w:rsidSect="004A65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5302D"/>
    <w:rsid w:val="00001D54"/>
    <w:rsid w:val="00005A70"/>
    <w:rsid w:val="0003067C"/>
    <w:rsid w:val="000622FD"/>
    <w:rsid w:val="00096FA4"/>
    <w:rsid w:val="000F697B"/>
    <w:rsid w:val="00151F8C"/>
    <w:rsid w:val="001623EC"/>
    <w:rsid w:val="00264C4C"/>
    <w:rsid w:val="00272A6F"/>
    <w:rsid w:val="00293A12"/>
    <w:rsid w:val="002D4CA6"/>
    <w:rsid w:val="003D09F9"/>
    <w:rsid w:val="00462519"/>
    <w:rsid w:val="00464FE3"/>
    <w:rsid w:val="00494605"/>
    <w:rsid w:val="004A652A"/>
    <w:rsid w:val="004B1E6A"/>
    <w:rsid w:val="005F4988"/>
    <w:rsid w:val="007D7F86"/>
    <w:rsid w:val="00814A8D"/>
    <w:rsid w:val="00856101"/>
    <w:rsid w:val="008C4127"/>
    <w:rsid w:val="008F4D60"/>
    <w:rsid w:val="00911D16"/>
    <w:rsid w:val="009536CD"/>
    <w:rsid w:val="00A15304"/>
    <w:rsid w:val="00AE6ED4"/>
    <w:rsid w:val="00B66D37"/>
    <w:rsid w:val="00BB619F"/>
    <w:rsid w:val="00BC1302"/>
    <w:rsid w:val="00BC5A30"/>
    <w:rsid w:val="00CA22B2"/>
    <w:rsid w:val="00CA2351"/>
    <w:rsid w:val="00CD0196"/>
    <w:rsid w:val="00D207EC"/>
    <w:rsid w:val="00D40FFB"/>
    <w:rsid w:val="00DA7DC7"/>
    <w:rsid w:val="00DA7EB5"/>
    <w:rsid w:val="00E06867"/>
    <w:rsid w:val="00E17510"/>
    <w:rsid w:val="00E27649"/>
    <w:rsid w:val="00E7794B"/>
    <w:rsid w:val="00E85C05"/>
    <w:rsid w:val="00EA3CFF"/>
    <w:rsid w:val="00EA698B"/>
    <w:rsid w:val="00F10313"/>
    <w:rsid w:val="00F5302D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6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A30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8C4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3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C4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98D9-74ED-4D59-8970-F6CB2C99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Brisy, Jonathan</dc:creator>
  <cp:lastModifiedBy>Redacteur-trois</cp:lastModifiedBy>
  <cp:revision>2</cp:revision>
  <cp:lastPrinted>2012-02-08T17:26:00Z</cp:lastPrinted>
  <dcterms:created xsi:type="dcterms:W3CDTF">2012-02-10T11:47:00Z</dcterms:created>
  <dcterms:modified xsi:type="dcterms:W3CDTF">2012-02-10T11:47:00Z</dcterms:modified>
</cp:coreProperties>
</file>